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9F" w:rsidRDefault="0064479F" w:rsidP="0064479F">
      <w:p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ТЕРРИТОРИАЛЬНЫЙ ОРГАН ФЕДЕРАЛЬНОЙ СЛУЖБЫ</w:t>
      </w:r>
    </w:p>
    <w:p w:rsidR="0064479F" w:rsidRDefault="0064479F" w:rsidP="0064479F">
      <w:p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ГОСУДАРСТВЕННОЙ СТАТИСТИКИ ПО ЧЕЧЕНСКОЙ РЕСПУБЛИКЕ (ЧЕЧЕНСТАТ)</w:t>
      </w:r>
    </w:p>
    <w:p w:rsidR="0064479F" w:rsidRDefault="0064479F" w:rsidP="0064479F">
      <w:p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>
        <w:rPr>
          <w:rFonts w:ascii="Helvetica" w:hAnsi="Helvetica" w:cs="Helvetica"/>
          <w:b/>
          <w:color w:val="444444"/>
          <w:shd w:val="clear" w:color="auto" w:fill="E7EDF0"/>
        </w:rPr>
        <w:t>364037</w:t>
      </w:r>
      <w:r>
        <w:rPr>
          <w:rFonts w:ascii="Arial" w:hAnsi="Arial"/>
          <w:b/>
        </w:rPr>
        <w:t xml:space="preserve">, г. Грозный, ул. </w:t>
      </w:r>
      <w:proofErr w:type="spellStart"/>
      <w:r>
        <w:rPr>
          <w:rFonts w:ascii="Arial" w:hAnsi="Arial"/>
          <w:b/>
        </w:rPr>
        <w:t>Субры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Кишиевой</w:t>
      </w:r>
      <w:proofErr w:type="spellEnd"/>
      <w:r>
        <w:rPr>
          <w:rFonts w:ascii="Arial" w:hAnsi="Arial"/>
          <w:b/>
        </w:rPr>
        <w:t xml:space="preserve">, д. 53, тел./факс </w:t>
      </w:r>
      <w:r>
        <w:rPr>
          <w:rFonts w:ascii="Helvetica" w:hAnsi="Helvetica" w:cs="Helvetica"/>
          <w:color w:val="444444"/>
          <w:shd w:val="clear" w:color="auto" w:fill="E7EDF0"/>
        </w:rPr>
        <w:t> </w:t>
      </w:r>
      <w:r>
        <w:rPr>
          <w:rFonts w:ascii="Helvetica" w:hAnsi="Helvetica" w:cs="Helvetica"/>
          <w:b/>
          <w:color w:val="444444"/>
          <w:shd w:val="clear" w:color="auto" w:fill="E7EDF0"/>
        </w:rPr>
        <w:t>8(8712) 21-22-29; 21-22-34</w:t>
      </w:r>
    </w:p>
    <w:p w:rsidR="0064479F" w:rsidRDefault="00091B38" w:rsidP="0064479F">
      <w:pPr>
        <w:spacing w:after="0"/>
        <w:jc w:val="center"/>
        <w:rPr>
          <w:rFonts w:ascii="Arial" w:hAnsi="Arial"/>
          <w:b/>
        </w:rPr>
      </w:pPr>
      <w:hyperlink r:id="rId6" w:history="1">
        <w:r w:rsidR="0064479F">
          <w:rPr>
            <w:rStyle w:val="a3"/>
            <w:rFonts w:ascii="Arial" w:hAnsi="Arial"/>
            <w:b/>
            <w:color w:val="0000FF"/>
            <w:lang w:val="en-US"/>
          </w:rPr>
          <w:t>http</w:t>
        </w:r>
        <w:r w:rsidR="0064479F">
          <w:rPr>
            <w:rStyle w:val="a3"/>
            <w:rFonts w:ascii="Arial" w:hAnsi="Arial"/>
            <w:b/>
            <w:color w:val="0000FF"/>
          </w:rPr>
          <w:t>://</w:t>
        </w:r>
        <w:r w:rsidR="0064479F">
          <w:rPr>
            <w:rStyle w:val="a3"/>
            <w:rFonts w:ascii="Arial" w:hAnsi="Arial"/>
            <w:b/>
            <w:color w:val="0000FF"/>
            <w:lang w:val="en-US"/>
          </w:rPr>
          <w:t>chechenstat</w:t>
        </w:r>
        <w:r w:rsidR="0064479F">
          <w:rPr>
            <w:rStyle w:val="a3"/>
            <w:rFonts w:ascii="Arial" w:hAnsi="Arial"/>
            <w:b/>
            <w:color w:val="0000FF"/>
          </w:rPr>
          <w:t>.</w:t>
        </w:r>
        <w:r w:rsidR="0064479F">
          <w:rPr>
            <w:rStyle w:val="a3"/>
            <w:rFonts w:ascii="Arial" w:hAnsi="Arial"/>
            <w:b/>
            <w:color w:val="0000FF"/>
            <w:lang w:val="en-US"/>
          </w:rPr>
          <w:t>gks</w:t>
        </w:r>
        <w:r w:rsidR="0064479F">
          <w:rPr>
            <w:rStyle w:val="a3"/>
            <w:rFonts w:ascii="Arial" w:hAnsi="Arial"/>
            <w:b/>
            <w:color w:val="0000FF"/>
          </w:rPr>
          <w:t>.</w:t>
        </w:r>
        <w:r w:rsidR="0064479F">
          <w:rPr>
            <w:rStyle w:val="a3"/>
            <w:rFonts w:ascii="Arial" w:hAnsi="Arial"/>
            <w:b/>
            <w:color w:val="0000FF"/>
            <w:lang w:val="en-US"/>
          </w:rPr>
          <w:t>ru</w:t>
        </w:r>
      </w:hyperlink>
      <w:r w:rsidR="0064479F">
        <w:rPr>
          <w:rFonts w:ascii="Arial" w:hAnsi="Arial"/>
          <w:b/>
        </w:rPr>
        <w:t xml:space="preserve">; </w:t>
      </w:r>
      <w:r w:rsidR="0064479F">
        <w:rPr>
          <w:rFonts w:ascii="Arial" w:hAnsi="Arial"/>
          <w:b/>
          <w:lang w:val="en-US"/>
        </w:rPr>
        <w:t>chechenstat</w:t>
      </w:r>
      <w:r w:rsidR="0064479F">
        <w:rPr>
          <w:rFonts w:ascii="Arial" w:hAnsi="Arial"/>
          <w:b/>
        </w:rPr>
        <w:t>@</w:t>
      </w:r>
      <w:r w:rsidR="0064479F">
        <w:rPr>
          <w:rFonts w:ascii="Arial" w:hAnsi="Arial"/>
          <w:b/>
          <w:lang w:val="en-US"/>
        </w:rPr>
        <w:t>mail</w:t>
      </w:r>
      <w:r w:rsidR="0064479F">
        <w:rPr>
          <w:rFonts w:ascii="Arial" w:hAnsi="Arial"/>
          <w:b/>
        </w:rPr>
        <w:t>.</w:t>
      </w:r>
      <w:r w:rsidR="0064479F">
        <w:rPr>
          <w:rFonts w:ascii="Arial" w:hAnsi="Arial"/>
          <w:b/>
          <w:lang w:val="en-US"/>
        </w:rPr>
        <w:t>ru</w:t>
      </w:r>
    </w:p>
    <w:p w:rsidR="0064479F" w:rsidRDefault="0064479F" w:rsidP="0064479F">
      <w:pPr>
        <w:jc w:val="center"/>
        <w:rPr>
          <w:rFonts w:ascii="Calibri" w:hAnsi="Calibri"/>
          <w:b/>
        </w:rPr>
      </w:pPr>
      <w:r>
        <w:rPr>
          <w:b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64479F" w:rsidRDefault="00091B38" w:rsidP="0064479F">
      <w:pPr>
        <w:spacing w:line="216" w:lineRule="auto"/>
        <w:ind w:firstLine="709"/>
        <w:jc w:val="both"/>
        <w:rPr>
          <w:b/>
        </w:rPr>
      </w:pPr>
      <w:r>
        <w:rPr>
          <w:b/>
          <w:sz w:val="24"/>
        </w:rPr>
        <w:t xml:space="preserve">6 </w:t>
      </w:r>
      <w:r w:rsidRPr="00091B38">
        <w:rPr>
          <w:b/>
        </w:rPr>
        <w:t>ИЮНЯ</w:t>
      </w:r>
      <w:r w:rsidR="0064479F" w:rsidRPr="00091B38">
        <w:rPr>
          <w:b/>
          <w:sz w:val="20"/>
        </w:rPr>
        <w:t xml:space="preserve"> </w:t>
      </w:r>
      <w:r w:rsidR="0064479F" w:rsidRPr="00091B38">
        <w:rPr>
          <w:b/>
          <w:sz w:val="24"/>
        </w:rPr>
        <w:t xml:space="preserve">2023                                                                                                            </w:t>
      </w:r>
      <w:r w:rsidR="0064479F">
        <w:rPr>
          <w:b/>
        </w:rPr>
        <w:t xml:space="preserve">ПРЕСС-РЕЛИЗ </w:t>
      </w:r>
    </w:p>
    <w:p w:rsidR="00A3650D" w:rsidRPr="00A3650D" w:rsidRDefault="00A3650D" w:rsidP="00A3650D">
      <w:pPr>
        <w:spacing w:line="216" w:lineRule="auto"/>
        <w:ind w:firstLine="709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A3650D" w:rsidRPr="00A3650D" w:rsidRDefault="00A3650D" w:rsidP="00A3650D">
      <w:pPr>
        <w:spacing w:line="21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3650D">
        <w:rPr>
          <w:rFonts w:ascii="Times New Roman" w:hAnsi="Times New Roman" w:cs="Times New Roman"/>
          <w:b/>
          <w:sz w:val="28"/>
        </w:rPr>
        <w:t xml:space="preserve">Наибольшее число занятых и высокооплачиваемых работников </w:t>
      </w:r>
    </w:p>
    <w:p w:rsidR="00A3650D" w:rsidRPr="00A3650D" w:rsidRDefault="00A3650D" w:rsidP="00A3650D">
      <w:pPr>
        <w:spacing w:line="21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3650D">
        <w:rPr>
          <w:rFonts w:ascii="Times New Roman" w:hAnsi="Times New Roman" w:cs="Times New Roman"/>
          <w:b/>
          <w:sz w:val="28"/>
        </w:rPr>
        <w:t>в организациях Чеченской Республики</w:t>
      </w:r>
    </w:p>
    <w:p w:rsidR="00A3650D" w:rsidRDefault="00A3650D" w:rsidP="00A3650D">
      <w:pPr>
        <w:spacing w:line="216" w:lineRule="auto"/>
        <w:ind w:firstLine="709"/>
        <w:jc w:val="center"/>
        <w:rPr>
          <w:b/>
        </w:rPr>
      </w:pPr>
    </w:p>
    <w:p w:rsidR="00A3650D" w:rsidRDefault="00A3650D" w:rsidP="00A3650D">
      <w:pPr>
        <w:spacing w:line="216" w:lineRule="auto"/>
        <w:ind w:firstLine="709"/>
        <w:jc w:val="center"/>
        <w:rPr>
          <w:b/>
        </w:rPr>
      </w:pPr>
    </w:p>
    <w:p w:rsidR="00D4722F" w:rsidRDefault="0049757C" w:rsidP="00D4722F">
      <w:pPr>
        <w:pStyle w:val="TableParagraph"/>
        <w:ind w:left="51" w:right="-84" w:firstLine="657"/>
        <w:rPr>
          <w:bCs/>
          <w:sz w:val="24"/>
          <w:szCs w:val="24"/>
          <w:lang w:val="ru-RU"/>
        </w:rPr>
      </w:pPr>
      <w:r w:rsidRPr="00D4722F">
        <w:rPr>
          <w:bCs/>
          <w:sz w:val="24"/>
          <w:szCs w:val="24"/>
          <w:lang w:val="ru-RU"/>
        </w:rPr>
        <w:t xml:space="preserve">Наибольшее число занятых работников </w:t>
      </w:r>
      <w:r w:rsidR="00221166">
        <w:rPr>
          <w:bCs/>
          <w:sz w:val="24"/>
          <w:szCs w:val="24"/>
          <w:lang w:val="ru-RU"/>
        </w:rPr>
        <w:t xml:space="preserve">в организациях </w:t>
      </w:r>
      <w:r w:rsidRPr="00D4722F">
        <w:rPr>
          <w:bCs/>
          <w:sz w:val="24"/>
          <w:szCs w:val="24"/>
          <w:lang w:val="ru-RU"/>
        </w:rPr>
        <w:t xml:space="preserve">Чеченской Республики </w:t>
      </w:r>
      <w:r w:rsidR="00221166">
        <w:rPr>
          <w:bCs/>
          <w:sz w:val="24"/>
          <w:szCs w:val="24"/>
          <w:lang w:val="ru-RU"/>
        </w:rPr>
        <w:t xml:space="preserve">в </w:t>
      </w:r>
      <w:r w:rsidRPr="00D4722F">
        <w:rPr>
          <w:bCs/>
          <w:sz w:val="24"/>
          <w:szCs w:val="24"/>
          <w:lang w:val="ru-RU"/>
        </w:rPr>
        <w:t>2022 год</w:t>
      </w:r>
      <w:r w:rsidR="00221166">
        <w:rPr>
          <w:bCs/>
          <w:sz w:val="24"/>
          <w:szCs w:val="24"/>
          <w:lang w:val="ru-RU"/>
        </w:rPr>
        <w:t>у</w:t>
      </w:r>
      <w:r w:rsidRPr="00D4722F">
        <w:rPr>
          <w:bCs/>
          <w:sz w:val="24"/>
          <w:szCs w:val="24"/>
          <w:lang w:val="ru-RU"/>
        </w:rPr>
        <w:t xml:space="preserve"> приходится </w:t>
      </w:r>
      <w:proofErr w:type="gramStart"/>
      <w:r w:rsidRPr="00D4722F">
        <w:rPr>
          <w:bCs/>
          <w:sz w:val="24"/>
          <w:szCs w:val="24"/>
          <w:lang w:val="ru-RU"/>
        </w:rPr>
        <w:t>на</w:t>
      </w:r>
      <w:proofErr w:type="gramEnd"/>
      <w:r w:rsidRPr="00D4722F">
        <w:rPr>
          <w:bCs/>
          <w:sz w:val="24"/>
          <w:szCs w:val="24"/>
          <w:lang w:val="ru-RU"/>
        </w:rPr>
        <w:t>:</w:t>
      </w:r>
    </w:p>
    <w:p w:rsidR="00D4722F" w:rsidRDefault="0049757C" w:rsidP="00D4722F">
      <w:pPr>
        <w:pStyle w:val="TableParagraph"/>
        <w:numPr>
          <w:ilvl w:val="0"/>
          <w:numId w:val="1"/>
        </w:numPr>
        <w:ind w:right="-84"/>
        <w:rPr>
          <w:bCs/>
          <w:sz w:val="24"/>
          <w:szCs w:val="24"/>
          <w:lang w:val="ru-RU"/>
        </w:rPr>
      </w:pPr>
      <w:r w:rsidRPr="00D4722F">
        <w:rPr>
          <w:bCs/>
          <w:sz w:val="24"/>
          <w:szCs w:val="24"/>
          <w:lang w:val="ru-RU"/>
        </w:rPr>
        <w:t xml:space="preserve">образование  -  80,7 тыс. человек, </w:t>
      </w:r>
    </w:p>
    <w:p w:rsidR="00D4722F" w:rsidRDefault="0049757C" w:rsidP="00D4722F">
      <w:pPr>
        <w:pStyle w:val="TableParagraph"/>
        <w:numPr>
          <w:ilvl w:val="0"/>
          <w:numId w:val="1"/>
        </w:numPr>
        <w:ind w:right="-84"/>
        <w:rPr>
          <w:bCs/>
          <w:sz w:val="24"/>
          <w:szCs w:val="24"/>
          <w:lang w:val="ru-RU"/>
        </w:rPr>
      </w:pPr>
      <w:r w:rsidRPr="00D4722F">
        <w:rPr>
          <w:sz w:val="24"/>
          <w:szCs w:val="24"/>
          <w:lang w:val="ru-RU"/>
        </w:rPr>
        <w:t xml:space="preserve">государственное управление и обеспечение военной безопасности; социальное обеспечение – 37,7 тыс. человек, </w:t>
      </w:r>
    </w:p>
    <w:p w:rsidR="00D4722F" w:rsidRDefault="0049757C" w:rsidP="00D4722F">
      <w:pPr>
        <w:pStyle w:val="TableParagraph"/>
        <w:numPr>
          <w:ilvl w:val="0"/>
          <w:numId w:val="1"/>
        </w:numPr>
        <w:ind w:right="-84"/>
        <w:rPr>
          <w:bCs/>
          <w:sz w:val="24"/>
          <w:szCs w:val="24"/>
          <w:lang w:val="ru-RU"/>
        </w:rPr>
      </w:pPr>
      <w:r w:rsidRPr="00D4722F">
        <w:rPr>
          <w:sz w:val="24"/>
          <w:szCs w:val="24"/>
          <w:lang w:val="ru-RU"/>
        </w:rPr>
        <w:t xml:space="preserve">деятельность в области здравоохранения и социальных услуг – 32,2 тыс. человек, строительство – 8,7 тыс. человек, </w:t>
      </w:r>
    </w:p>
    <w:p w:rsidR="0064479F" w:rsidRPr="00D4722F" w:rsidRDefault="0049757C" w:rsidP="00D4722F">
      <w:pPr>
        <w:pStyle w:val="TableParagraph"/>
        <w:numPr>
          <w:ilvl w:val="0"/>
          <w:numId w:val="1"/>
        </w:numPr>
        <w:ind w:right="-84"/>
        <w:rPr>
          <w:bCs/>
          <w:sz w:val="24"/>
          <w:szCs w:val="24"/>
          <w:lang w:val="ru-RU"/>
        </w:rPr>
      </w:pPr>
      <w:r w:rsidRPr="00D4722F">
        <w:rPr>
          <w:sz w:val="24"/>
          <w:szCs w:val="24"/>
          <w:lang w:val="ru-RU"/>
        </w:rPr>
        <w:t>деятельность в области культуры, спорта, организации досуга и развлечений</w:t>
      </w:r>
      <w:r w:rsidR="00794371" w:rsidRPr="00D4722F">
        <w:rPr>
          <w:sz w:val="24"/>
          <w:szCs w:val="24"/>
          <w:lang w:val="ru-RU"/>
        </w:rPr>
        <w:t xml:space="preserve"> – 8,5 тыс. человек. </w:t>
      </w:r>
    </w:p>
    <w:p w:rsidR="00D4722F" w:rsidRPr="00D4722F" w:rsidRDefault="00D4722F" w:rsidP="00D4722F">
      <w:pPr>
        <w:pStyle w:val="TableParagraph"/>
        <w:ind w:right="-84"/>
        <w:rPr>
          <w:bCs/>
          <w:sz w:val="24"/>
          <w:szCs w:val="24"/>
          <w:lang w:val="ru-RU"/>
        </w:rPr>
      </w:pPr>
    </w:p>
    <w:p w:rsidR="00D4722F" w:rsidRDefault="00794371" w:rsidP="00D4722F">
      <w:pPr>
        <w:pStyle w:val="TableParagraph"/>
        <w:ind w:left="51" w:right="-84" w:firstLine="657"/>
        <w:rPr>
          <w:sz w:val="24"/>
          <w:szCs w:val="24"/>
          <w:lang w:val="ru-RU"/>
        </w:rPr>
      </w:pPr>
      <w:r w:rsidRPr="00D4722F">
        <w:rPr>
          <w:sz w:val="24"/>
          <w:szCs w:val="24"/>
          <w:lang w:val="ru-RU"/>
        </w:rPr>
        <w:t>Наиболее высокооплачиваемыми в 2022 году являлись работники организаций по видам экономической деятельности:</w:t>
      </w:r>
    </w:p>
    <w:p w:rsidR="00D4722F" w:rsidRDefault="00794371" w:rsidP="00D4722F">
      <w:pPr>
        <w:pStyle w:val="TableParagraph"/>
        <w:numPr>
          <w:ilvl w:val="0"/>
          <w:numId w:val="2"/>
        </w:numPr>
        <w:ind w:right="-84"/>
        <w:rPr>
          <w:sz w:val="24"/>
          <w:szCs w:val="24"/>
          <w:lang w:val="ru-RU"/>
        </w:rPr>
      </w:pPr>
      <w:r w:rsidRPr="00D4722F">
        <w:rPr>
          <w:sz w:val="24"/>
          <w:szCs w:val="24"/>
          <w:lang w:val="ru-RU"/>
        </w:rPr>
        <w:t>деятельность финансовая и страховая – 59</w:t>
      </w:r>
      <w:r w:rsidRPr="00D4722F">
        <w:rPr>
          <w:sz w:val="24"/>
          <w:szCs w:val="24"/>
        </w:rPr>
        <w:t> </w:t>
      </w:r>
      <w:r w:rsidR="00221166">
        <w:rPr>
          <w:sz w:val="24"/>
          <w:szCs w:val="24"/>
          <w:lang w:val="ru-RU"/>
        </w:rPr>
        <w:t>692 рубля</w:t>
      </w:r>
      <w:r w:rsidRPr="00D4722F">
        <w:rPr>
          <w:sz w:val="24"/>
          <w:szCs w:val="24"/>
          <w:lang w:val="ru-RU"/>
        </w:rPr>
        <w:t xml:space="preserve">, </w:t>
      </w:r>
    </w:p>
    <w:p w:rsidR="00D4722F" w:rsidRDefault="00794371" w:rsidP="00D4722F">
      <w:pPr>
        <w:pStyle w:val="TableParagraph"/>
        <w:numPr>
          <w:ilvl w:val="0"/>
          <w:numId w:val="2"/>
        </w:numPr>
        <w:ind w:right="-84"/>
        <w:rPr>
          <w:sz w:val="24"/>
          <w:szCs w:val="24"/>
          <w:lang w:val="ru-RU"/>
        </w:rPr>
      </w:pPr>
      <w:r w:rsidRPr="00D4722F">
        <w:rPr>
          <w:sz w:val="24"/>
          <w:szCs w:val="24"/>
          <w:lang w:val="ru-RU"/>
        </w:rPr>
        <w:t>государственное управление и обеспечение военной безопасности; с</w:t>
      </w:r>
      <w:r w:rsidR="00221166">
        <w:rPr>
          <w:sz w:val="24"/>
          <w:szCs w:val="24"/>
          <w:lang w:val="ru-RU"/>
        </w:rPr>
        <w:t>оциальное обеспечение – 55 054 рубля</w:t>
      </w:r>
      <w:r w:rsidRPr="00D4722F">
        <w:rPr>
          <w:sz w:val="24"/>
          <w:szCs w:val="24"/>
          <w:lang w:val="ru-RU"/>
        </w:rPr>
        <w:t xml:space="preserve">, </w:t>
      </w:r>
    </w:p>
    <w:p w:rsidR="00D4722F" w:rsidRDefault="00794371" w:rsidP="00D4722F">
      <w:pPr>
        <w:pStyle w:val="TableParagraph"/>
        <w:numPr>
          <w:ilvl w:val="0"/>
          <w:numId w:val="2"/>
        </w:numPr>
        <w:ind w:right="-84"/>
        <w:rPr>
          <w:sz w:val="24"/>
          <w:szCs w:val="24"/>
          <w:lang w:val="ru-RU"/>
        </w:rPr>
      </w:pPr>
      <w:r w:rsidRPr="00D4722F">
        <w:rPr>
          <w:sz w:val="24"/>
          <w:szCs w:val="24"/>
          <w:lang w:val="ru-RU"/>
        </w:rPr>
        <w:t>обеспечение электрической энергией, газом и паром; кондицио</w:t>
      </w:r>
      <w:r w:rsidR="00221166">
        <w:rPr>
          <w:sz w:val="24"/>
          <w:szCs w:val="24"/>
          <w:lang w:val="ru-RU"/>
        </w:rPr>
        <w:t>нирование воздуха – 44 871 рубль</w:t>
      </w:r>
      <w:r w:rsidR="00D4722F" w:rsidRPr="00D4722F">
        <w:rPr>
          <w:sz w:val="24"/>
          <w:szCs w:val="24"/>
          <w:lang w:val="ru-RU"/>
        </w:rPr>
        <w:t xml:space="preserve">, </w:t>
      </w:r>
    </w:p>
    <w:p w:rsidR="00D4722F" w:rsidRDefault="00D4722F" w:rsidP="00D4722F">
      <w:pPr>
        <w:pStyle w:val="TableParagraph"/>
        <w:numPr>
          <w:ilvl w:val="0"/>
          <w:numId w:val="2"/>
        </w:numPr>
        <w:ind w:right="-84"/>
        <w:rPr>
          <w:sz w:val="24"/>
          <w:szCs w:val="24"/>
          <w:lang w:val="ru-RU"/>
        </w:rPr>
      </w:pPr>
      <w:r w:rsidRPr="00D4722F">
        <w:rPr>
          <w:sz w:val="24"/>
          <w:szCs w:val="24"/>
          <w:lang w:val="ru-RU"/>
        </w:rPr>
        <w:t>добы</w:t>
      </w:r>
      <w:r w:rsidR="00221166">
        <w:rPr>
          <w:sz w:val="24"/>
          <w:szCs w:val="24"/>
          <w:lang w:val="ru-RU"/>
        </w:rPr>
        <w:t>ча полезных ископаемых – 40335</w:t>
      </w:r>
      <w:r w:rsidRPr="00D4722F">
        <w:rPr>
          <w:sz w:val="24"/>
          <w:szCs w:val="24"/>
          <w:lang w:val="ru-RU"/>
        </w:rPr>
        <w:t xml:space="preserve"> рублей, </w:t>
      </w:r>
    </w:p>
    <w:p w:rsidR="00794371" w:rsidRPr="00D4722F" w:rsidRDefault="00D4722F" w:rsidP="00D4722F">
      <w:pPr>
        <w:pStyle w:val="TableParagraph"/>
        <w:numPr>
          <w:ilvl w:val="0"/>
          <w:numId w:val="2"/>
        </w:numPr>
        <w:ind w:right="-84"/>
        <w:rPr>
          <w:sz w:val="24"/>
          <w:szCs w:val="24"/>
          <w:lang w:val="ru-RU"/>
        </w:rPr>
      </w:pPr>
      <w:r w:rsidRPr="00D4722F">
        <w:rPr>
          <w:sz w:val="24"/>
          <w:szCs w:val="24"/>
          <w:lang w:val="ru-RU"/>
        </w:rPr>
        <w:t>транс</w:t>
      </w:r>
      <w:r w:rsidR="00221166">
        <w:rPr>
          <w:sz w:val="24"/>
          <w:szCs w:val="24"/>
          <w:lang w:val="ru-RU"/>
        </w:rPr>
        <w:t>портировка и хранение – 39 124 рубля</w:t>
      </w:r>
      <w:r w:rsidRPr="00D4722F">
        <w:rPr>
          <w:sz w:val="24"/>
          <w:szCs w:val="24"/>
          <w:lang w:val="ru-RU"/>
        </w:rPr>
        <w:t xml:space="preserve">. </w:t>
      </w:r>
    </w:p>
    <w:p w:rsidR="0064479F" w:rsidRDefault="0064479F" w:rsidP="0064479F">
      <w:pPr>
        <w:spacing w:after="0" w:line="276" w:lineRule="auto"/>
        <w:ind w:right="-11"/>
        <w:jc w:val="both"/>
        <w:rPr>
          <w:rFonts w:ascii="Times New Roman" w:hAnsi="Times New Roman" w:cs="Times New Roman"/>
          <w:sz w:val="26"/>
          <w:szCs w:val="26"/>
        </w:rPr>
      </w:pPr>
    </w:p>
    <w:p w:rsidR="00D4722F" w:rsidRDefault="00D4722F" w:rsidP="0064479F">
      <w:pPr>
        <w:spacing w:after="0" w:line="276" w:lineRule="auto"/>
        <w:ind w:right="-11"/>
        <w:jc w:val="both"/>
        <w:rPr>
          <w:rFonts w:ascii="Times New Roman" w:hAnsi="Times New Roman" w:cs="Times New Roman"/>
          <w:sz w:val="26"/>
          <w:szCs w:val="26"/>
        </w:rPr>
      </w:pPr>
    </w:p>
    <w:p w:rsidR="00D4722F" w:rsidRDefault="00D4722F" w:rsidP="0064479F">
      <w:pPr>
        <w:spacing w:after="0" w:line="276" w:lineRule="auto"/>
        <w:ind w:right="-11"/>
        <w:jc w:val="both"/>
        <w:rPr>
          <w:rFonts w:ascii="Times New Roman" w:hAnsi="Times New Roman" w:cs="Times New Roman"/>
          <w:sz w:val="26"/>
          <w:szCs w:val="26"/>
        </w:rPr>
      </w:pPr>
    </w:p>
    <w:p w:rsidR="00D4722F" w:rsidRDefault="00D4722F" w:rsidP="0064479F">
      <w:pPr>
        <w:spacing w:after="0" w:line="276" w:lineRule="auto"/>
        <w:ind w:right="-11"/>
        <w:jc w:val="both"/>
        <w:rPr>
          <w:rFonts w:ascii="Times New Roman" w:hAnsi="Times New Roman" w:cs="Times New Roman"/>
          <w:sz w:val="26"/>
          <w:szCs w:val="26"/>
        </w:rPr>
      </w:pPr>
    </w:p>
    <w:p w:rsidR="00D4722F" w:rsidRDefault="00D4722F" w:rsidP="0064479F">
      <w:pPr>
        <w:spacing w:after="0" w:line="276" w:lineRule="auto"/>
        <w:ind w:right="-11"/>
        <w:jc w:val="both"/>
        <w:rPr>
          <w:rFonts w:ascii="Times New Roman" w:hAnsi="Times New Roman" w:cs="Times New Roman"/>
          <w:sz w:val="26"/>
          <w:szCs w:val="26"/>
        </w:rPr>
      </w:pPr>
    </w:p>
    <w:p w:rsidR="00D4722F" w:rsidRDefault="00D4722F" w:rsidP="0064479F">
      <w:pPr>
        <w:spacing w:after="0" w:line="276" w:lineRule="auto"/>
        <w:ind w:right="-11"/>
        <w:jc w:val="both"/>
        <w:rPr>
          <w:rFonts w:ascii="Times New Roman" w:hAnsi="Times New Roman" w:cs="Times New Roman"/>
          <w:sz w:val="26"/>
          <w:szCs w:val="26"/>
        </w:rPr>
      </w:pPr>
    </w:p>
    <w:p w:rsidR="0064479F" w:rsidRDefault="0064479F" w:rsidP="0064479F">
      <w:pPr>
        <w:spacing w:line="237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A3650D" w:rsidRDefault="00A3650D" w:rsidP="0064479F">
      <w:pPr>
        <w:spacing w:line="237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64479F" w:rsidRDefault="0064479F" w:rsidP="0064479F">
      <w:pPr>
        <w:pStyle w:val="a4"/>
        <w:shd w:val="clear" w:color="auto" w:fill="FFFFFF"/>
        <w:tabs>
          <w:tab w:val="left" w:pos="567"/>
        </w:tabs>
        <w:spacing w:line="216" w:lineRule="auto"/>
        <w:ind w:firstLine="567"/>
        <w:rPr>
          <w:bCs/>
          <w:szCs w:val="28"/>
        </w:rPr>
      </w:pPr>
    </w:p>
    <w:p w:rsidR="0064479F" w:rsidRDefault="0064479F" w:rsidP="0064479F">
      <w:pPr>
        <w:pStyle w:val="a6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64479F" w:rsidRDefault="0064479F" w:rsidP="0064479F">
      <w:pPr>
        <w:pStyle w:val="a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64479F" w:rsidRDefault="0064479F" w:rsidP="0064479F">
      <w:pPr>
        <w:pStyle w:val="a6"/>
        <w:jc w:val="both"/>
        <w:rPr>
          <w:i/>
          <w:sz w:val="18"/>
          <w:szCs w:val="18"/>
        </w:rPr>
      </w:pPr>
    </w:p>
    <w:p w:rsidR="0064479F" w:rsidRDefault="0064479F" w:rsidP="0064479F">
      <w:pPr>
        <w:pStyle w:val="a6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Р. Х. </w:t>
      </w:r>
      <w:proofErr w:type="spellStart"/>
      <w:r>
        <w:rPr>
          <w:i/>
          <w:sz w:val="18"/>
          <w:szCs w:val="18"/>
        </w:rPr>
        <w:t>Буцаев</w:t>
      </w:r>
      <w:proofErr w:type="spellEnd"/>
    </w:p>
    <w:p w:rsidR="0064479F" w:rsidRPr="00076CD9" w:rsidRDefault="0064479F" w:rsidP="0064479F">
      <w:pPr>
        <w:pStyle w:val="a6"/>
        <w:jc w:val="both"/>
        <w:rPr>
          <w:sz w:val="26"/>
          <w:szCs w:val="26"/>
        </w:rPr>
      </w:pPr>
      <w:r>
        <w:rPr>
          <w:i/>
          <w:sz w:val="18"/>
          <w:szCs w:val="18"/>
        </w:rPr>
        <w:t>8(8712) 21-22-39</w:t>
      </w:r>
    </w:p>
    <w:p w:rsidR="00FE3C72" w:rsidRDefault="00091B38"/>
    <w:sectPr w:rsidR="00FE3C72" w:rsidSect="00C54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643E5"/>
    <w:multiLevelType w:val="hybridMultilevel"/>
    <w:tmpl w:val="5E1820A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1F9129AF"/>
    <w:multiLevelType w:val="hybridMultilevel"/>
    <w:tmpl w:val="73F86B3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BA"/>
    <w:rsid w:val="00040849"/>
    <w:rsid w:val="00091B38"/>
    <w:rsid w:val="00221166"/>
    <w:rsid w:val="0049757C"/>
    <w:rsid w:val="0064479F"/>
    <w:rsid w:val="00794371"/>
    <w:rsid w:val="009679BE"/>
    <w:rsid w:val="009B43BA"/>
    <w:rsid w:val="00A3650D"/>
    <w:rsid w:val="00D4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479F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64479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6447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6447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49757C"/>
    <w:pPr>
      <w:widowControl w:val="0"/>
      <w:spacing w:after="0" w:line="240" w:lineRule="auto"/>
      <w:ind w:left="57"/>
    </w:pPr>
    <w:rPr>
      <w:rFonts w:ascii="Times New Roman" w:eastAsia="Times New Roman" w:hAnsi="Times New Roman" w:cs="Times New Roman"/>
      <w:lang w:val="en-US"/>
    </w:rPr>
  </w:style>
  <w:style w:type="character" w:styleId="a7">
    <w:name w:val="Emphasis"/>
    <w:basedOn w:val="a0"/>
    <w:qFormat/>
    <w:rsid w:val="007943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479F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64479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6447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6447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49757C"/>
    <w:pPr>
      <w:widowControl w:val="0"/>
      <w:spacing w:after="0" w:line="240" w:lineRule="auto"/>
      <w:ind w:left="57"/>
    </w:pPr>
    <w:rPr>
      <w:rFonts w:ascii="Times New Roman" w:eastAsia="Times New Roman" w:hAnsi="Times New Roman" w:cs="Times New Roman"/>
      <w:lang w:val="en-US"/>
    </w:rPr>
  </w:style>
  <w:style w:type="character" w:styleId="a7">
    <w:name w:val="Emphasis"/>
    <w:basedOn w:val="a0"/>
    <w:qFormat/>
    <w:rsid w:val="007943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chenstat.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Дукуева Роза Абдуллаевна</dc:creator>
  <cp:keywords/>
  <dc:description/>
  <cp:lastModifiedBy>Дукуева Роза Абдуллаевна</cp:lastModifiedBy>
  <cp:revision>6</cp:revision>
  <dcterms:created xsi:type="dcterms:W3CDTF">2023-05-29T11:43:00Z</dcterms:created>
  <dcterms:modified xsi:type="dcterms:W3CDTF">2023-06-06T11:25:00Z</dcterms:modified>
</cp:coreProperties>
</file>